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>Пенза 30 сентября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154EC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>
        <w:rPr>
          <w:rFonts w:ascii="Times New Roman" w:hAnsi="Times New Roman"/>
          <w:b/>
          <w:color w:val="FF0000"/>
          <w:sz w:val="24"/>
          <w:szCs w:val="24"/>
        </w:rPr>
        <w:t>Пенза 30 сентября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766E9" w:rsidRDefault="00934204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  <w:r>
        <w:rPr>
          <w:rFonts w:ascii="Times New Roman" w:hAnsi="Times New Roman" w:cs="Times New Roman"/>
          <w:b/>
          <w:color w:val="FF0000"/>
        </w:rPr>
        <w:t>,</w:t>
      </w:r>
      <w:r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>Пенза 30 сентября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34204"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ул.Ленина 11-А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204">
        <w:rPr>
          <w:rFonts w:ascii="Times New Roman" w:hAnsi="Times New Roman" w:cs="Times New Roman"/>
          <w:sz w:val="24"/>
          <w:szCs w:val="24"/>
        </w:rPr>
        <w:t>24.09</w:t>
      </w:r>
      <w:r w:rsidR="00FF00B1" w:rsidRPr="002508FC">
        <w:rPr>
          <w:rFonts w:ascii="Times New Roman" w:hAnsi="Times New Roman" w:cs="Times New Roman"/>
          <w:sz w:val="24"/>
          <w:szCs w:val="24"/>
        </w:rPr>
        <w:t>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B22858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- 9</w:t>
            </w:r>
            <w:r w:rsidR="00FF00B1" w:rsidRPr="002508F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682D8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D3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B228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682D8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22858">
              <w:rPr>
                <w:rFonts w:ascii="Times New Roman" w:hAnsi="Times New Roman"/>
                <w:sz w:val="24"/>
                <w:szCs w:val="24"/>
              </w:rPr>
              <w:t>1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D3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 2022),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="00B22858">
        <w:rPr>
          <w:rFonts w:ascii="Times New Roman" w:hAnsi="Times New Roman" w:cs="Times New Roman"/>
          <w:b/>
          <w:sz w:val="24"/>
          <w:szCs w:val="24"/>
        </w:rPr>
        <w:t>8-906-422-52-51, 8(499) 389-73-90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B22858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320D3F">
        <w:rPr>
          <w:rFonts w:ascii="Times New Roman" w:hAnsi="Times New Roman" w:cs="Times New Roman"/>
          <w:sz w:val="24"/>
          <w:szCs w:val="24"/>
        </w:rPr>
        <w:t>Пенза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B94FC3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14" w:rsidRDefault="00DC5814" w:rsidP="00426D59">
      <w:pPr>
        <w:spacing w:after="0" w:line="240" w:lineRule="auto"/>
      </w:pPr>
      <w:r>
        <w:separator/>
      </w:r>
    </w:p>
  </w:endnote>
  <w:endnote w:type="continuationSeparator" w:id="1">
    <w:p w:rsidR="00DC5814" w:rsidRDefault="00DC5814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B94FC3">
        <w:pPr>
          <w:pStyle w:val="a7"/>
          <w:jc w:val="center"/>
        </w:pPr>
        <w:fldSimple w:instr=" PAGE   \* MERGEFORMAT ">
          <w:r w:rsidR="00B22858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14" w:rsidRDefault="00DC5814" w:rsidP="00426D59">
      <w:pPr>
        <w:spacing w:after="0" w:line="240" w:lineRule="auto"/>
      </w:pPr>
      <w:r>
        <w:separator/>
      </w:r>
    </w:p>
  </w:footnote>
  <w:footnote w:type="continuationSeparator" w:id="1">
    <w:p w:rsidR="00DC5814" w:rsidRDefault="00DC5814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0AF3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82D8D"/>
    <w:rsid w:val="006F2C75"/>
    <w:rsid w:val="00703312"/>
    <w:rsid w:val="007226EF"/>
    <w:rsid w:val="0075487D"/>
    <w:rsid w:val="00762545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A272F1"/>
    <w:rsid w:val="00A80CED"/>
    <w:rsid w:val="00AA26CD"/>
    <w:rsid w:val="00AA4C09"/>
    <w:rsid w:val="00AB0DAA"/>
    <w:rsid w:val="00B03AB4"/>
    <w:rsid w:val="00B124D9"/>
    <w:rsid w:val="00B22858"/>
    <w:rsid w:val="00B27E74"/>
    <w:rsid w:val="00B5055D"/>
    <w:rsid w:val="00B818CF"/>
    <w:rsid w:val="00B94FC3"/>
    <w:rsid w:val="00BA0960"/>
    <w:rsid w:val="00BB3D8C"/>
    <w:rsid w:val="00BE6C74"/>
    <w:rsid w:val="00C1123F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D17AFD"/>
    <w:rsid w:val="00D513D8"/>
    <w:rsid w:val="00D64DF0"/>
    <w:rsid w:val="00D7284A"/>
    <w:rsid w:val="00DA1949"/>
    <w:rsid w:val="00DC0E34"/>
    <w:rsid w:val="00DC5814"/>
    <w:rsid w:val="00E033D6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7</cp:revision>
  <dcterms:created xsi:type="dcterms:W3CDTF">2022-08-10T12:58:00Z</dcterms:created>
  <dcterms:modified xsi:type="dcterms:W3CDTF">2022-08-16T07:53:00Z</dcterms:modified>
</cp:coreProperties>
</file>